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44" w:rsidRPr="00C12E6B" w:rsidRDefault="00A64444" w:rsidP="00A64444">
      <w:pPr>
        <w:shd w:val="clear" w:color="auto" w:fill="F8F8F8"/>
        <w:spacing w:after="0" w:line="240" w:lineRule="auto"/>
        <w:jc w:val="center"/>
        <w:rPr>
          <w:rFonts w:ascii="Times New Roman" w:eastAsia="Times New Roman" w:hAnsi="Times New Roman" w:cs="Times New Roman"/>
          <w:b/>
          <w:bCs/>
          <w:sz w:val="24"/>
          <w:szCs w:val="24"/>
          <w:lang w:eastAsia="tr-TR"/>
        </w:rPr>
      </w:pPr>
      <w:bookmarkStart w:id="0" w:name="_GoBack"/>
      <w:r w:rsidRPr="00C12E6B">
        <w:rPr>
          <w:rFonts w:ascii="Times New Roman" w:eastAsia="Times New Roman" w:hAnsi="Times New Roman" w:cs="Times New Roman"/>
          <w:b/>
          <w:bCs/>
          <w:sz w:val="24"/>
          <w:szCs w:val="24"/>
          <w:lang w:eastAsia="tr-TR"/>
        </w:rPr>
        <w:t>ARTUKLU KENTSEL SİT ALANI CEPHE İYİLEŞTİRME VE SOKAK SAĞLIKLAŞTIRMA 2 ETAP UYGULAMA YAPIM İŞİ</w:t>
      </w:r>
    </w:p>
    <w:p w:rsidR="00A64444" w:rsidRPr="00C12E6B" w:rsidRDefault="00A64444" w:rsidP="001066C5">
      <w:pPr>
        <w:spacing w:after="0" w:line="240" w:lineRule="auto"/>
        <w:jc w:val="center"/>
        <w:rPr>
          <w:rFonts w:ascii="Times New Roman" w:eastAsia="Times New Roman" w:hAnsi="Times New Roman" w:cs="Times New Roman"/>
          <w:b/>
          <w:bCs/>
          <w:sz w:val="24"/>
          <w:szCs w:val="24"/>
          <w:u w:val="single"/>
          <w:shd w:val="clear" w:color="auto" w:fill="F8F8F8"/>
          <w:lang w:eastAsia="tr-TR"/>
        </w:rPr>
      </w:pPr>
      <w:r w:rsidRPr="00C12E6B">
        <w:rPr>
          <w:rFonts w:ascii="Times New Roman" w:eastAsia="Times New Roman" w:hAnsi="Times New Roman" w:cs="Times New Roman"/>
          <w:b/>
          <w:bCs/>
          <w:sz w:val="24"/>
          <w:szCs w:val="24"/>
          <w:u w:val="single"/>
          <w:shd w:val="clear" w:color="auto" w:fill="F8F8F8"/>
          <w:lang w:eastAsia="tr-TR"/>
        </w:rPr>
        <w:t>MARDİN BÜYÜKŞEHİR BELEDİYESİ İMAR VE ŞEHİRCİLİK DAİRE BAŞKANLIĞI</w:t>
      </w:r>
    </w:p>
    <w:tbl>
      <w:tblPr>
        <w:tblW w:w="5286"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86"/>
        <w:gridCol w:w="314"/>
        <w:gridCol w:w="7295"/>
        <w:gridCol w:w="649"/>
      </w:tblGrid>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İhale Kayıt Numarası</w:t>
            </w:r>
          </w:p>
        </w:tc>
        <w:tc>
          <w:tcPr>
            <w:tcW w:w="246" w:type="dxa"/>
            <w:tcBorders>
              <w:top w:val="nil"/>
              <w:left w:val="nil"/>
              <w:bottom w:val="nil"/>
              <w:right w:val="nil"/>
            </w:tcBorders>
            <w:shd w:val="clear" w:color="auto" w:fill="F8F8F8"/>
            <w:tcMar>
              <w:top w:w="45" w:type="dxa"/>
              <w:left w:w="45" w:type="dxa"/>
              <w:bottom w:w="45" w:type="dxa"/>
              <w:right w:w="45"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w:t>
            </w:r>
          </w:p>
        </w:tc>
        <w:tc>
          <w:tcPr>
            <w:tcW w:w="6291"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2022/362054</w:t>
            </w:r>
          </w:p>
        </w:tc>
        <w:tc>
          <w:tcPr>
            <w:tcW w:w="523" w:type="dxa"/>
            <w:tcBorders>
              <w:top w:val="nil"/>
              <w:left w:val="nil"/>
              <w:bottom w:val="nil"/>
              <w:right w:val="nil"/>
            </w:tcBorders>
            <w:shd w:val="clear" w:color="auto" w:fill="F8F8F8"/>
          </w:tcPr>
          <w:p w:rsidR="001066C5" w:rsidRPr="00C12E6B" w:rsidRDefault="001066C5" w:rsidP="00822F09">
            <w:pPr>
              <w:spacing w:after="0" w:line="240" w:lineRule="atLeast"/>
              <w:jc w:val="both"/>
              <w:rPr>
                <w:rFonts w:ascii="Times New Roman" w:eastAsia="Times New Roman" w:hAnsi="Times New Roman" w:cs="Times New Roman"/>
                <w:b/>
                <w:bCs/>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İşin Adı</w:t>
            </w:r>
          </w:p>
        </w:tc>
        <w:tc>
          <w:tcPr>
            <w:tcW w:w="246" w:type="dxa"/>
            <w:tcBorders>
              <w:top w:val="nil"/>
              <w:left w:val="nil"/>
              <w:bottom w:val="nil"/>
              <w:right w:val="nil"/>
            </w:tcBorders>
            <w:shd w:val="clear" w:color="auto" w:fill="F8F8F8"/>
            <w:tcMar>
              <w:top w:w="45" w:type="dxa"/>
              <w:left w:w="45" w:type="dxa"/>
              <w:bottom w:w="45" w:type="dxa"/>
              <w:right w:w="45"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w:t>
            </w:r>
          </w:p>
        </w:tc>
        <w:tc>
          <w:tcPr>
            <w:tcW w:w="6291"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Artuklu Kentsel Sit Alanı Cephe İyileştirme Ve Sokak Sağlıklaştırma 2 Etap Uygulama Yapım İşi</w:t>
            </w:r>
          </w:p>
        </w:tc>
        <w:tc>
          <w:tcPr>
            <w:tcW w:w="523" w:type="dxa"/>
            <w:tcBorders>
              <w:top w:val="nil"/>
              <w:left w:val="nil"/>
              <w:bottom w:val="nil"/>
              <w:right w:val="nil"/>
            </w:tcBorders>
            <w:shd w:val="clear" w:color="auto" w:fill="F8F8F8"/>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İhale Türü - Usulü</w:t>
            </w:r>
          </w:p>
        </w:tc>
        <w:tc>
          <w:tcPr>
            <w:tcW w:w="246" w:type="dxa"/>
            <w:tcBorders>
              <w:top w:val="nil"/>
              <w:left w:val="nil"/>
              <w:bottom w:val="nil"/>
              <w:right w:val="nil"/>
            </w:tcBorders>
            <w:shd w:val="clear" w:color="auto" w:fill="F8F8F8"/>
            <w:tcMar>
              <w:top w:w="45" w:type="dxa"/>
              <w:left w:w="45" w:type="dxa"/>
              <w:bottom w:w="45" w:type="dxa"/>
              <w:right w:w="45"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w:t>
            </w:r>
          </w:p>
        </w:tc>
        <w:tc>
          <w:tcPr>
            <w:tcW w:w="6291"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Yapım İşi - Açık İhale Usulü</w:t>
            </w:r>
          </w:p>
        </w:tc>
        <w:tc>
          <w:tcPr>
            <w:tcW w:w="523" w:type="dxa"/>
            <w:tcBorders>
              <w:top w:val="nil"/>
              <w:left w:val="nil"/>
              <w:bottom w:val="nil"/>
              <w:right w:val="nil"/>
            </w:tcBorders>
            <w:shd w:val="clear" w:color="auto" w:fill="F8F8F8"/>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1.İdarenin</w:t>
            </w:r>
          </w:p>
        </w:tc>
        <w:tc>
          <w:tcPr>
            <w:tcW w:w="246" w:type="dxa"/>
            <w:shd w:val="clear" w:color="auto" w:fill="F8F8F8"/>
            <w:vAlign w:val="center"/>
            <w:hideMark/>
          </w:tcPr>
          <w:p w:rsidR="001066C5" w:rsidRPr="00C12E6B" w:rsidRDefault="001066C5" w:rsidP="00822F09">
            <w:pPr>
              <w:spacing w:after="0" w:line="240" w:lineRule="auto"/>
              <w:rPr>
                <w:rFonts w:ascii="Times New Roman" w:eastAsia="Times New Roman" w:hAnsi="Times New Roman" w:cs="Times New Roman"/>
                <w:sz w:val="24"/>
                <w:szCs w:val="24"/>
                <w:lang w:eastAsia="tr-TR"/>
              </w:rPr>
            </w:pPr>
          </w:p>
        </w:tc>
        <w:tc>
          <w:tcPr>
            <w:tcW w:w="6291" w:type="dxa"/>
            <w:shd w:val="clear" w:color="auto" w:fill="F8F8F8"/>
            <w:vAlign w:val="center"/>
            <w:hideMark/>
          </w:tcPr>
          <w:p w:rsidR="001066C5" w:rsidRPr="00C12E6B" w:rsidRDefault="001066C5" w:rsidP="00822F09">
            <w:pPr>
              <w:spacing w:after="0" w:line="240" w:lineRule="auto"/>
              <w:rPr>
                <w:rFonts w:ascii="Times New Roman" w:eastAsia="Times New Roman" w:hAnsi="Times New Roman" w:cs="Times New Roman"/>
                <w:sz w:val="24"/>
                <w:szCs w:val="24"/>
                <w:lang w:eastAsia="tr-TR"/>
              </w:rPr>
            </w:pPr>
          </w:p>
        </w:tc>
        <w:tc>
          <w:tcPr>
            <w:tcW w:w="523" w:type="dxa"/>
            <w:shd w:val="clear" w:color="auto" w:fill="F8F8F8"/>
          </w:tcPr>
          <w:p w:rsidR="001066C5" w:rsidRPr="00C12E6B" w:rsidRDefault="001066C5" w:rsidP="00822F09">
            <w:pPr>
              <w:spacing w:after="0" w:line="240" w:lineRule="auto"/>
              <w:rPr>
                <w:rFonts w:ascii="Times New Roman" w:eastAsia="Times New Roman" w:hAnsi="Times New Roman" w:cs="Times New Roman"/>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a)</w:t>
            </w:r>
            <w:r w:rsidRPr="00C12E6B">
              <w:rPr>
                <w:rFonts w:ascii="Times New Roman" w:eastAsia="Times New Roman" w:hAnsi="Times New Roman" w:cs="Times New Roman"/>
                <w:sz w:val="24"/>
                <w:szCs w:val="24"/>
                <w:lang w:eastAsia="tr-TR"/>
              </w:rPr>
              <w:t> Adresi</w:t>
            </w:r>
          </w:p>
        </w:tc>
        <w:tc>
          <w:tcPr>
            <w:tcW w:w="246" w:type="dxa"/>
            <w:tcBorders>
              <w:top w:val="nil"/>
              <w:left w:val="nil"/>
              <w:bottom w:val="nil"/>
              <w:right w:val="nil"/>
            </w:tcBorders>
            <w:shd w:val="clear" w:color="auto" w:fill="F8F8F8"/>
            <w:tcMar>
              <w:top w:w="45" w:type="dxa"/>
              <w:left w:w="45" w:type="dxa"/>
              <w:bottom w:w="45" w:type="dxa"/>
              <w:right w:w="45"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w:t>
            </w:r>
          </w:p>
        </w:tc>
        <w:tc>
          <w:tcPr>
            <w:tcW w:w="6291"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İstasyon Mah. Kızıltepe Cad. No:54 47100</w:t>
            </w:r>
          </w:p>
        </w:tc>
        <w:tc>
          <w:tcPr>
            <w:tcW w:w="523" w:type="dxa"/>
            <w:tcBorders>
              <w:top w:val="nil"/>
              <w:left w:val="nil"/>
              <w:bottom w:val="nil"/>
              <w:right w:val="nil"/>
            </w:tcBorders>
            <w:shd w:val="clear" w:color="auto" w:fill="F8F8F8"/>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b)</w:t>
            </w:r>
            <w:r w:rsidRPr="00C12E6B">
              <w:rPr>
                <w:rFonts w:ascii="Times New Roman" w:eastAsia="Times New Roman" w:hAnsi="Times New Roman" w:cs="Times New Roman"/>
                <w:sz w:val="24"/>
                <w:szCs w:val="24"/>
                <w:lang w:eastAsia="tr-TR"/>
              </w:rPr>
              <w:t> Telefon ve faks numarası</w:t>
            </w:r>
          </w:p>
        </w:tc>
        <w:tc>
          <w:tcPr>
            <w:tcW w:w="246" w:type="dxa"/>
            <w:tcBorders>
              <w:top w:val="nil"/>
              <w:left w:val="nil"/>
              <w:bottom w:val="nil"/>
              <w:right w:val="nil"/>
            </w:tcBorders>
            <w:shd w:val="clear" w:color="auto" w:fill="F8F8F8"/>
            <w:tcMar>
              <w:top w:w="45" w:type="dxa"/>
              <w:left w:w="45" w:type="dxa"/>
              <w:bottom w:w="45" w:type="dxa"/>
              <w:right w:w="45"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w:t>
            </w:r>
          </w:p>
        </w:tc>
        <w:tc>
          <w:tcPr>
            <w:tcW w:w="6291"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4822151930- - 4822151932</w:t>
            </w:r>
          </w:p>
        </w:tc>
        <w:tc>
          <w:tcPr>
            <w:tcW w:w="523" w:type="dxa"/>
            <w:tcBorders>
              <w:top w:val="nil"/>
              <w:left w:val="nil"/>
              <w:bottom w:val="nil"/>
              <w:right w:val="nil"/>
            </w:tcBorders>
            <w:shd w:val="clear" w:color="auto" w:fill="F8F8F8"/>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c)</w:t>
            </w:r>
            <w:r w:rsidRPr="00C12E6B">
              <w:rPr>
                <w:rFonts w:ascii="Times New Roman" w:eastAsia="Times New Roman" w:hAnsi="Times New Roman" w:cs="Times New Roman"/>
                <w:sz w:val="24"/>
                <w:szCs w:val="24"/>
                <w:lang w:eastAsia="tr-TR"/>
              </w:rPr>
              <w:t> Elektronik posta adresi</w:t>
            </w:r>
          </w:p>
        </w:tc>
        <w:tc>
          <w:tcPr>
            <w:tcW w:w="246" w:type="dxa"/>
            <w:tcBorders>
              <w:top w:val="nil"/>
              <w:left w:val="nil"/>
              <w:bottom w:val="nil"/>
              <w:right w:val="nil"/>
            </w:tcBorders>
            <w:shd w:val="clear" w:color="auto" w:fill="F8F8F8"/>
            <w:tcMar>
              <w:top w:w="45" w:type="dxa"/>
              <w:left w:w="45" w:type="dxa"/>
              <w:bottom w:w="45" w:type="dxa"/>
              <w:right w:w="45"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w:t>
            </w:r>
          </w:p>
        </w:tc>
        <w:tc>
          <w:tcPr>
            <w:tcW w:w="6291"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imarsehircilik@mardin.bel.tr</w:t>
            </w:r>
          </w:p>
        </w:tc>
        <w:tc>
          <w:tcPr>
            <w:tcW w:w="523" w:type="dxa"/>
            <w:tcBorders>
              <w:top w:val="nil"/>
              <w:left w:val="nil"/>
              <w:bottom w:val="nil"/>
              <w:right w:val="nil"/>
            </w:tcBorders>
            <w:shd w:val="clear" w:color="auto" w:fill="F8F8F8"/>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ç)</w:t>
            </w:r>
            <w:r w:rsidRPr="00C12E6B">
              <w:rPr>
                <w:rFonts w:ascii="Times New Roman" w:eastAsia="Times New Roman" w:hAnsi="Times New Roman" w:cs="Times New Roman"/>
                <w:sz w:val="24"/>
                <w:szCs w:val="24"/>
                <w:lang w:eastAsia="tr-TR"/>
              </w:rPr>
              <w:t> İhale / Ön Yeterlik dokümanının</w:t>
            </w:r>
            <w:r w:rsidRPr="00C12E6B">
              <w:rPr>
                <w:rFonts w:ascii="Times New Roman" w:eastAsia="Times New Roman" w:hAnsi="Times New Roman" w:cs="Times New Roman"/>
                <w:sz w:val="24"/>
                <w:szCs w:val="24"/>
                <w:lang w:eastAsia="tr-TR"/>
              </w:rPr>
              <w:br/>
              <w:t>görülebileceği internet adresi</w:t>
            </w:r>
          </w:p>
        </w:tc>
        <w:tc>
          <w:tcPr>
            <w:tcW w:w="246" w:type="dxa"/>
            <w:tcBorders>
              <w:top w:val="nil"/>
              <w:left w:val="nil"/>
              <w:bottom w:val="nil"/>
              <w:right w:val="nil"/>
            </w:tcBorders>
            <w:shd w:val="clear" w:color="auto" w:fill="F8F8F8"/>
            <w:tcMar>
              <w:top w:w="45" w:type="dxa"/>
              <w:left w:w="45" w:type="dxa"/>
              <w:bottom w:w="45" w:type="dxa"/>
              <w:right w:w="45"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w:t>
            </w:r>
          </w:p>
        </w:tc>
        <w:tc>
          <w:tcPr>
            <w:tcW w:w="6291"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www.mardin.bel.tr</w:t>
            </w:r>
          </w:p>
        </w:tc>
        <w:tc>
          <w:tcPr>
            <w:tcW w:w="523" w:type="dxa"/>
            <w:tcBorders>
              <w:top w:val="nil"/>
              <w:left w:val="nil"/>
              <w:bottom w:val="nil"/>
              <w:right w:val="nil"/>
            </w:tcBorders>
            <w:shd w:val="clear" w:color="auto" w:fill="F8F8F8"/>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2.İhale konusu yapım işinin</w:t>
            </w:r>
          </w:p>
        </w:tc>
        <w:tc>
          <w:tcPr>
            <w:tcW w:w="246" w:type="dxa"/>
            <w:shd w:val="clear" w:color="auto" w:fill="F8F8F8"/>
            <w:vAlign w:val="center"/>
            <w:hideMark/>
          </w:tcPr>
          <w:p w:rsidR="001066C5" w:rsidRPr="00C12E6B" w:rsidRDefault="001066C5" w:rsidP="00822F09">
            <w:pPr>
              <w:spacing w:after="0" w:line="240" w:lineRule="auto"/>
              <w:rPr>
                <w:rFonts w:ascii="Times New Roman" w:eastAsia="Times New Roman" w:hAnsi="Times New Roman" w:cs="Times New Roman"/>
                <w:sz w:val="24"/>
                <w:szCs w:val="24"/>
                <w:lang w:eastAsia="tr-TR"/>
              </w:rPr>
            </w:pPr>
          </w:p>
        </w:tc>
        <w:tc>
          <w:tcPr>
            <w:tcW w:w="6291" w:type="dxa"/>
            <w:shd w:val="clear" w:color="auto" w:fill="F8F8F8"/>
            <w:vAlign w:val="center"/>
            <w:hideMark/>
          </w:tcPr>
          <w:p w:rsidR="001066C5" w:rsidRPr="00C12E6B" w:rsidRDefault="001066C5" w:rsidP="00822F09">
            <w:pPr>
              <w:spacing w:after="0" w:line="240" w:lineRule="auto"/>
              <w:rPr>
                <w:rFonts w:ascii="Times New Roman" w:eastAsia="Times New Roman" w:hAnsi="Times New Roman" w:cs="Times New Roman"/>
                <w:sz w:val="24"/>
                <w:szCs w:val="24"/>
                <w:lang w:eastAsia="tr-TR"/>
              </w:rPr>
            </w:pPr>
          </w:p>
        </w:tc>
        <w:tc>
          <w:tcPr>
            <w:tcW w:w="523" w:type="dxa"/>
            <w:shd w:val="clear" w:color="auto" w:fill="F8F8F8"/>
          </w:tcPr>
          <w:p w:rsidR="001066C5" w:rsidRPr="00C12E6B" w:rsidRDefault="001066C5" w:rsidP="00822F09">
            <w:pPr>
              <w:spacing w:after="0" w:line="240" w:lineRule="auto"/>
              <w:rPr>
                <w:rFonts w:ascii="Times New Roman" w:eastAsia="Times New Roman" w:hAnsi="Times New Roman" w:cs="Times New Roman"/>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a)</w:t>
            </w:r>
            <w:r w:rsidRPr="00C12E6B">
              <w:rPr>
                <w:rFonts w:ascii="Times New Roman" w:eastAsia="Times New Roman" w:hAnsi="Times New Roman" w:cs="Times New Roman"/>
                <w:sz w:val="24"/>
                <w:szCs w:val="24"/>
                <w:lang w:eastAsia="tr-TR"/>
              </w:rPr>
              <w:t> Niteliği, türü ve miktarı</w:t>
            </w:r>
          </w:p>
        </w:tc>
        <w:tc>
          <w:tcPr>
            <w:tcW w:w="246" w:type="dxa"/>
            <w:tcBorders>
              <w:top w:val="nil"/>
              <w:left w:val="nil"/>
              <w:bottom w:val="nil"/>
              <w:right w:val="nil"/>
            </w:tcBorders>
            <w:shd w:val="clear" w:color="auto" w:fill="F8F8F8"/>
            <w:tcMar>
              <w:top w:w="45" w:type="dxa"/>
              <w:left w:w="45" w:type="dxa"/>
              <w:bottom w:w="45" w:type="dxa"/>
              <w:right w:w="45"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w:t>
            </w:r>
          </w:p>
        </w:tc>
        <w:tc>
          <w:tcPr>
            <w:tcW w:w="6291"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Toplam 6.900 metre uzunluğundaki Sokak akslarında Cephe İyileştirme ve Sokak Sağlıklaştırma Uygulama Yapım İşi</w:t>
            </w:r>
          </w:p>
        </w:tc>
        <w:tc>
          <w:tcPr>
            <w:tcW w:w="523" w:type="dxa"/>
            <w:tcBorders>
              <w:top w:val="nil"/>
              <w:left w:val="nil"/>
              <w:bottom w:val="nil"/>
              <w:right w:val="nil"/>
            </w:tcBorders>
            <w:shd w:val="clear" w:color="auto" w:fill="F8F8F8"/>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b)</w:t>
            </w:r>
            <w:r w:rsidRPr="00C12E6B">
              <w:rPr>
                <w:rFonts w:ascii="Times New Roman" w:eastAsia="Times New Roman" w:hAnsi="Times New Roman" w:cs="Times New Roman"/>
                <w:sz w:val="24"/>
                <w:szCs w:val="24"/>
                <w:lang w:eastAsia="tr-TR"/>
              </w:rPr>
              <w:t> Yapılacağı Yer</w:t>
            </w:r>
          </w:p>
        </w:tc>
        <w:tc>
          <w:tcPr>
            <w:tcW w:w="246" w:type="dxa"/>
            <w:tcBorders>
              <w:top w:val="nil"/>
              <w:left w:val="nil"/>
              <w:bottom w:val="nil"/>
              <w:right w:val="nil"/>
            </w:tcBorders>
            <w:shd w:val="clear" w:color="auto" w:fill="F8F8F8"/>
            <w:tcMar>
              <w:top w:w="45" w:type="dxa"/>
              <w:left w:w="45" w:type="dxa"/>
              <w:bottom w:w="45" w:type="dxa"/>
              <w:right w:w="45"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w:t>
            </w:r>
          </w:p>
        </w:tc>
        <w:tc>
          <w:tcPr>
            <w:tcW w:w="6291"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Mardin ili, Artuklu İlçesi Kentsel Sit Alanı</w:t>
            </w:r>
          </w:p>
        </w:tc>
        <w:tc>
          <w:tcPr>
            <w:tcW w:w="523" w:type="dxa"/>
            <w:tcBorders>
              <w:top w:val="nil"/>
              <w:left w:val="nil"/>
              <w:bottom w:val="nil"/>
              <w:right w:val="nil"/>
            </w:tcBorders>
            <w:shd w:val="clear" w:color="auto" w:fill="F8F8F8"/>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c)</w:t>
            </w:r>
            <w:r w:rsidRPr="00C12E6B">
              <w:rPr>
                <w:rFonts w:ascii="Times New Roman" w:eastAsia="Times New Roman" w:hAnsi="Times New Roman" w:cs="Times New Roman"/>
                <w:sz w:val="24"/>
                <w:szCs w:val="24"/>
                <w:lang w:eastAsia="tr-TR"/>
              </w:rPr>
              <w:t> İşe başlama tarihi</w:t>
            </w:r>
          </w:p>
        </w:tc>
        <w:tc>
          <w:tcPr>
            <w:tcW w:w="246" w:type="dxa"/>
            <w:tcBorders>
              <w:top w:val="nil"/>
              <w:left w:val="nil"/>
              <w:bottom w:val="nil"/>
              <w:right w:val="nil"/>
            </w:tcBorders>
            <w:shd w:val="clear" w:color="auto" w:fill="F8F8F8"/>
            <w:tcMar>
              <w:top w:w="45" w:type="dxa"/>
              <w:left w:w="45" w:type="dxa"/>
              <w:bottom w:w="45" w:type="dxa"/>
              <w:right w:w="45"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w:t>
            </w:r>
          </w:p>
        </w:tc>
        <w:tc>
          <w:tcPr>
            <w:tcW w:w="6291"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Sözleşmenin imzalandığı tarihten itibaren beş (5) gün içinde Uygulama İşleri Genel Şartnamesi hükümlerine göre yer teslimi yapılarak işe başlanır.</w:t>
            </w:r>
          </w:p>
        </w:tc>
        <w:tc>
          <w:tcPr>
            <w:tcW w:w="523" w:type="dxa"/>
            <w:tcBorders>
              <w:top w:val="nil"/>
              <w:left w:val="nil"/>
              <w:bottom w:val="nil"/>
              <w:right w:val="nil"/>
            </w:tcBorders>
            <w:shd w:val="clear" w:color="auto" w:fill="F8F8F8"/>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ç)</w:t>
            </w:r>
            <w:r w:rsidRPr="00C12E6B">
              <w:rPr>
                <w:rFonts w:ascii="Times New Roman" w:eastAsia="Times New Roman" w:hAnsi="Times New Roman" w:cs="Times New Roman"/>
                <w:sz w:val="24"/>
                <w:szCs w:val="24"/>
                <w:lang w:eastAsia="tr-TR"/>
              </w:rPr>
              <w:t> İşin süresi</w:t>
            </w:r>
          </w:p>
        </w:tc>
        <w:tc>
          <w:tcPr>
            <w:tcW w:w="246" w:type="dxa"/>
            <w:tcBorders>
              <w:top w:val="nil"/>
              <w:left w:val="nil"/>
              <w:bottom w:val="nil"/>
              <w:right w:val="nil"/>
            </w:tcBorders>
            <w:shd w:val="clear" w:color="auto" w:fill="F8F8F8"/>
            <w:tcMar>
              <w:top w:w="45" w:type="dxa"/>
              <w:left w:w="45" w:type="dxa"/>
              <w:bottom w:w="45" w:type="dxa"/>
              <w:right w:w="45"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w:t>
            </w:r>
          </w:p>
        </w:tc>
        <w:tc>
          <w:tcPr>
            <w:tcW w:w="6291"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240 (</w:t>
            </w:r>
            <w:proofErr w:type="spellStart"/>
            <w:r w:rsidRPr="00C12E6B">
              <w:rPr>
                <w:rFonts w:ascii="Times New Roman" w:eastAsia="Times New Roman" w:hAnsi="Times New Roman" w:cs="Times New Roman"/>
                <w:sz w:val="24"/>
                <w:szCs w:val="24"/>
                <w:lang w:eastAsia="tr-TR"/>
              </w:rPr>
              <w:t>İkiYüzKırk</w:t>
            </w:r>
            <w:proofErr w:type="spellEnd"/>
            <w:r w:rsidRPr="00C12E6B">
              <w:rPr>
                <w:rFonts w:ascii="Times New Roman" w:eastAsia="Times New Roman" w:hAnsi="Times New Roman" w:cs="Times New Roman"/>
                <w:sz w:val="24"/>
                <w:szCs w:val="24"/>
                <w:lang w:eastAsia="tr-TR"/>
              </w:rPr>
              <w:t>) gün</w:t>
            </w:r>
          </w:p>
        </w:tc>
        <w:tc>
          <w:tcPr>
            <w:tcW w:w="523" w:type="dxa"/>
            <w:tcBorders>
              <w:top w:val="nil"/>
              <w:left w:val="nil"/>
              <w:bottom w:val="nil"/>
              <w:right w:val="nil"/>
            </w:tcBorders>
            <w:shd w:val="clear" w:color="auto" w:fill="F8F8F8"/>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C00393" w:rsidP="00C00393">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3.İhalenin / Ön Yeterlik </w:t>
            </w:r>
            <w:proofErr w:type="spellStart"/>
            <w:r w:rsidR="001066C5" w:rsidRPr="00C12E6B">
              <w:rPr>
                <w:rFonts w:ascii="Times New Roman" w:eastAsia="Times New Roman" w:hAnsi="Times New Roman" w:cs="Times New Roman"/>
                <w:b/>
                <w:bCs/>
                <w:sz w:val="24"/>
                <w:szCs w:val="24"/>
                <w:lang w:eastAsia="tr-TR"/>
              </w:rPr>
              <w:t>Yeterlik</w:t>
            </w:r>
            <w:proofErr w:type="spellEnd"/>
            <w:r w:rsidR="001066C5" w:rsidRPr="00C12E6B">
              <w:rPr>
                <w:rFonts w:ascii="Times New Roman" w:eastAsia="Times New Roman" w:hAnsi="Times New Roman" w:cs="Times New Roman"/>
                <w:b/>
                <w:bCs/>
                <w:sz w:val="24"/>
                <w:szCs w:val="24"/>
                <w:lang w:eastAsia="tr-TR"/>
              </w:rPr>
              <w:t xml:space="preserve"> Değerlendirmesinin</w:t>
            </w:r>
            <w:r w:rsidR="001066C5" w:rsidRPr="00C12E6B">
              <w:rPr>
                <w:rFonts w:ascii="Times New Roman" w:eastAsia="Times New Roman" w:hAnsi="Times New Roman" w:cs="Times New Roman"/>
                <w:sz w:val="24"/>
                <w:szCs w:val="24"/>
                <w:lang w:eastAsia="tr-TR"/>
              </w:rPr>
              <w:t>:</w:t>
            </w:r>
          </w:p>
        </w:tc>
        <w:tc>
          <w:tcPr>
            <w:tcW w:w="246" w:type="dxa"/>
            <w:shd w:val="clear" w:color="auto" w:fill="F8F8F8"/>
            <w:vAlign w:val="center"/>
            <w:hideMark/>
          </w:tcPr>
          <w:p w:rsidR="001066C5" w:rsidRPr="00C12E6B" w:rsidRDefault="001066C5" w:rsidP="00822F09">
            <w:pPr>
              <w:spacing w:after="0" w:line="240" w:lineRule="auto"/>
              <w:rPr>
                <w:rFonts w:ascii="Times New Roman" w:eastAsia="Times New Roman" w:hAnsi="Times New Roman" w:cs="Times New Roman"/>
                <w:sz w:val="24"/>
                <w:szCs w:val="24"/>
                <w:lang w:eastAsia="tr-TR"/>
              </w:rPr>
            </w:pPr>
          </w:p>
        </w:tc>
        <w:tc>
          <w:tcPr>
            <w:tcW w:w="6291" w:type="dxa"/>
            <w:shd w:val="clear" w:color="auto" w:fill="F8F8F8"/>
            <w:vAlign w:val="center"/>
            <w:hideMark/>
          </w:tcPr>
          <w:p w:rsidR="001066C5" w:rsidRPr="00C12E6B" w:rsidRDefault="001066C5" w:rsidP="00822F09">
            <w:pPr>
              <w:spacing w:after="0" w:line="240" w:lineRule="auto"/>
              <w:rPr>
                <w:rFonts w:ascii="Times New Roman" w:eastAsia="Times New Roman" w:hAnsi="Times New Roman" w:cs="Times New Roman"/>
                <w:sz w:val="24"/>
                <w:szCs w:val="24"/>
                <w:lang w:eastAsia="tr-TR"/>
              </w:rPr>
            </w:pPr>
          </w:p>
        </w:tc>
        <w:tc>
          <w:tcPr>
            <w:tcW w:w="523" w:type="dxa"/>
            <w:shd w:val="clear" w:color="auto" w:fill="F8F8F8"/>
          </w:tcPr>
          <w:p w:rsidR="001066C5" w:rsidRPr="00C12E6B" w:rsidRDefault="001066C5" w:rsidP="00822F09">
            <w:pPr>
              <w:spacing w:after="0" w:line="240" w:lineRule="auto"/>
              <w:rPr>
                <w:rFonts w:ascii="Times New Roman" w:eastAsia="Times New Roman" w:hAnsi="Times New Roman" w:cs="Times New Roman"/>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a)</w:t>
            </w:r>
            <w:r w:rsidRPr="00C12E6B">
              <w:rPr>
                <w:rFonts w:ascii="Times New Roman" w:eastAsia="Times New Roman" w:hAnsi="Times New Roman" w:cs="Times New Roman"/>
                <w:sz w:val="24"/>
                <w:szCs w:val="24"/>
                <w:lang w:eastAsia="tr-TR"/>
              </w:rPr>
              <w:t> Yapılacağı yer</w:t>
            </w:r>
          </w:p>
        </w:tc>
        <w:tc>
          <w:tcPr>
            <w:tcW w:w="246" w:type="dxa"/>
            <w:tcBorders>
              <w:top w:val="nil"/>
              <w:left w:val="nil"/>
              <w:bottom w:val="nil"/>
              <w:right w:val="nil"/>
            </w:tcBorders>
            <w:shd w:val="clear" w:color="auto" w:fill="F8F8F8"/>
            <w:tcMar>
              <w:top w:w="45" w:type="dxa"/>
              <w:left w:w="45" w:type="dxa"/>
              <w:bottom w:w="45" w:type="dxa"/>
              <w:right w:w="45"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w:t>
            </w:r>
          </w:p>
        </w:tc>
        <w:tc>
          <w:tcPr>
            <w:tcW w:w="6291"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 xml:space="preserve">Mardin Büyükşehir Belediyesi Hizmet Binası Sosyal Tesisler Toplantı salonu </w:t>
            </w:r>
            <w:r w:rsidR="00C12E6B" w:rsidRPr="00C12E6B">
              <w:rPr>
                <w:rFonts w:ascii="Times New Roman" w:hAnsi="Times New Roman" w:cs="Times New Roman"/>
                <w:sz w:val="24"/>
                <w:szCs w:val="24"/>
              </w:rPr>
              <w:t>İstasyon Mah. Kızıltepe Cad. No:54</w:t>
            </w:r>
            <w:r w:rsidR="00C12E6B" w:rsidRPr="00C12E6B">
              <w:rPr>
                <w:rFonts w:ascii="Times New Roman" w:hAnsi="Times New Roman" w:cs="Times New Roman"/>
                <w:b/>
                <w:sz w:val="24"/>
                <w:szCs w:val="24"/>
              </w:rPr>
              <w:t xml:space="preserve"> </w:t>
            </w:r>
            <w:r w:rsidRPr="00C12E6B">
              <w:rPr>
                <w:rFonts w:ascii="Times New Roman" w:eastAsia="Times New Roman" w:hAnsi="Times New Roman" w:cs="Times New Roman"/>
                <w:sz w:val="24"/>
                <w:szCs w:val="24"/>
                <w:lang w:eastAsia="tr-TR"/>
              </w:rPr>
              <w:t>Artuklu / MARDİN</w:t>
            </w:r>
          </w:p>
        </w:tc>
        <w:tc>
          <w:tcPr>
            <w:tcW w:w="523" w:type="dxa"/>
            <w:tcBorders>
              <w:top w:val="nil"/>
              <w:left w:val="nil"/>
              <w:bottom w:val="nil"/>
              <w:right w:val="nil"/>
            </w:tcBorders>
            <w:shd w:val="clear" w:color="auto" w:fill="F8F8F8"/>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p>
        </w:tc>
      </w:tr>
      <w:tr w:rsidR="00C12E6B" w:rsidRPr="00C12E6B" w:rsidTr="001066C5">
        <w:trPr>
          <w:tblCellSpacing w:w="15" w:type="dxa"/>
        </w:trPr>
        <w:tc>
          <w:tcPr>
            <w:tcW w:w="2460"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822F09">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b/>
                <w:bCs/>
                <w:sz w:val="24"/>
                <w:szCs w:val="24"/>
                <w:lang w:eastAsia="tr-TR"/>
              </w:rPr>
              <w:t>b)</w:t>
            </w:r>
            <w:r w:rsidRPr="00C12E6B">
              <w:rPr>
                <w:rFonts w:ascii="Times New Roman" w:eastAsia="Times New Roman" w:hAnsi="Times New Roman" w:cs="Times New Roman"/>
                <w:sz w:val="24"/>
                <w:szCs w:val="24"/>
                <w:lang w:eastAsia="tr-TR"/>
              </w:rPr>
              <w:t> Tarihi ve saati</w:t>
            </w:r>
          </w:p>
        </w:tc>
        <w:tc>
          <w:tcPr>
            <w:tcW w:w="246" w:type="dxa"/>
            <w:tcBorders>
              <w:top w:val="nil"/>
              <w:left w:val="nil"/>
              <w:bottom w:val="nil"/>
              <w:right w:val="nil"/>
            </w:tcBorders>
            <w:shd w:val="clear" w:color="auto" w:fill="F8F8F8"/>
            <w:tcMar>
              <w:top w:w="45" w:type="dxa"/>
              <w:left w:w="45" w:type="dxa"/>
              <w:bottom w:w="45" w:type="dxa"/>
              <w:right w:w="45" w:type="dxa"/>
            </w:tcMar>
            <w:hideMark/>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w:t>
            </w:r>
          </w:p>
        </w:tc>
        <w:tc>
          <w:tcPr>
            <w:tcW w:w="6291" w:type="dxa"/>
            <w:tcBorders>
              <w:top w:val="nil"/>
              <w:left w:val="nil"/>
              <w:bottom w:val="nil"/>
              <w:right w:val="nil"/>
            </w:tcBorders>
            <w:shd w:val="clear" w:color="auto" w:fill="F8F8F8"/>
            <w:tcMar>
              <w:top w:w="45" w:type="dxa"/>
              <w:left w:w="0" w:type="dxa"/>
              <w:bottom w:w="0" w:type="dxa"/>
              <w:right w:w="0" w:type="dxa"/>
            </w:tcMar>
            <w:hideMark/>
          </w:tcPr>
          <w:p w:rsidR="001066C5" w:rsidRPr="00C12E6B" w:rsidRDefault="001066C5" w:rsidP="00C12E6B">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0</w:t>
            </w:r>
            <w:r w:rsidR="00C12E6B" w:rsidRPr="00C12E6B">
              <w:rPr>
                <w:rFonts w:ascii="Times New Roman" w:eastAsia="Times New Roman" w:hAnsi="Times New Roman" w:cs="Times New Roman"/>
                <w:sz w:val="24"/>
                <w:szCs w:val="24"/>
                <w:lang w:eastAsia="tr-TR"/>
              </w:rPr>
              <w:t>9</w:t>
            </w:r>
            <w:r w:rsidRPr="00C12E6B">
              <w:rPr>
                <w:rFonts w:ascii="Times New Roman" w:eastAsia="Times New Roman" w:hAnsi="Times New Roman" w:cs="Times New Roman"/>
                <w:sz w:val="24"/>
                <w:szCs w:val="24"/>
                <w:lang w:eastAsia="tr-TR"/>
              </w:rPr>
              <w:t>.05.2022 - 14:00</w:t>
            </w:r>
          </w:p>
        </w:tc>
        <w:tc>
          <w:tcPr>
            <w:tcW w:w="523" w:type="dxa"/>
            <w:tcBorders>
              <w:top w:val="nil"/>
              <w:left w:val="nil"/>
              <w:bottom w:val="nil"/>
              <w:right w:val="nil"/>
            </w:tcBorders>
            <w:shd w:val="clear" w:color="auto" w:fill="F8F8F8"/>
          </w:tcPr>
          <w:p w:rsidR="001066C5" w:rsidRPr="00C12E6B" w:rsidRDefault="001066C5" w:rsidP="00822F09">
            <w:pPr>
              <w:spacing w:after="0" w:line="240" w:lineRule="atLeast"/>
              <w:jc w:val="both"/>
              <w:rPr>
                <w:rFonts w:ascii="Times New Roman" w:eastAsia="Times New Roman" w:hAnsi="Times New Roman" w:cs="Times New Roman"/>
                <w:sz w:val="24"/>
                <w:szCs w:val="24"/>
                <w:lang w:eastAsia="tr-TR"/>
              </w:rPr>
            </w:pPr>
          </w:p>
        </w:tc>
      </w:tr>
    </w:tbl>
    <w:p w:rsidR="00A64444" w:rsidRPr="00C12E6B" w:rsidRDefault="00A64444" w:rsidP="00A64444">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 xml:space="preserve">4-İhaleye katılabilme şartları ve istenilen belgeler ile yeterlik değerlendirmesinde uygulanacak </w:t>
      </w:r>
      <w:proofErr w:type="gramStart"/>
      <w:r w:rsidRPr="00C12E6B">
        <w:rPr>
          <w:rFonts w:ascii="Times New Roman" w:eastAsia="Times New Roman" w:hAnsi="Times New Roman" w:cs="Times New Roman"/>
          <w:sz w:val="24"/>
          <w:szCs w:val="24"/>
          <w:lang w:eastAsia="tr-TR"/>
        </w:rPr>
        <w:t>kriterler :</w:t>
      </w:r>
      <w:proofErr w:type="gramEnd"/>
    </w:p>
    <w:p w:rsidR="00C12E6B" w:rsidRPr="00C12E6B" w:rsidRDefault="00A64444" w:rsidP="00C12E6B">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4.1.</w:t>
      </w:r>
      <w:r w:rsidR="00B17FA8" w:rsidRPr="00C12E6B">
        <w:rPr>
          <w:rFonts w:ascii="Times New Roman" w:eastAsia="Times New Roman" w:hAnsi="Times New Roman" w:cs="Times New Roman"/>
          <w:sz w:val="24"/>
          <w:szCs w:val="24"/>
          <w:lang w:eastAsia="tr-TR"/>
        </w:rPr>
        <w:t xml:space="preserve"> </w:t>
      </w:r>
      <w:r w:rsidRPr="00C12E6B">
        <w:rPr>
          <w:rFonts w:ascii="Times New Roman" w:eastAsia="Times New Roman" w:hAnsi="Times New Roman" w:cs="Times New Roman"/>
          <w:sz w:val="24"/>
          <w:szCs w:val="24"/>
          <w:lang w:eastAsia="tr-TR"/>
        </w:rPr>
        <w:t xml:space="preserve">İhaleye katılma şartları ve istenilen belgeler:  </w:t>
      </w:r>
    </w:p>
    <w:p w:rsidR="00C12E6B" w:rsidRPr="00C12E6B" w:rsidRDefault="00A64444" w:rsidP="00C12E6B">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4.1.2. Mevzuat gereği kayıtlı olduğu Ticaret ve/veya Sanayi Odası Belgesi</w:t>
      </w:r>
    </w:p>
    <w:p w:rsidR="00C12E6B" w:rsidRPr="00C12E6B" w:rsidRDefault="00A64444" w:rsidP="00C12E6B">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4.1.2.1. Gerçek kişi olması halinde, ilk ilan veya ihale tarihinin içerisinde bulunduğu Ticaret ve/veya Sanayi Odası veya ilgili Meslek Odasına kayıtlı olduğunu gösterir belge</w:t>
      </w:r>
    </w:p>
    <w:p w:rsidR="00C12E6B" w:rsidRPr="00C12E6B" w:rsidRDefault="00A64444" w:rsidP="00C12E6B">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4.1.2.2. Tüzel kişi olması halinde, mevzuatı gereği tüzel kişiliğin siciline kayıtlı bulunduğu Ticaret ve/veya Sanayi Odasından ilk ilan veya ihale tarihinin içerisinde bulunduğu yılda alınmış, tüzel kişiliğinin siciline kayıtlı olduğuna dair belge</w:t>
      </w:r>
    </w:p>
    <w:p w:rsidR="00C12E6B" w:rsidRPr="00C12E6B" w:rsidRDefault="00A64444" w:rsidP="00C12E6B">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4.1.3. Teklif vermeye yetkili olduğunu gösteren İmza Beyannamesi ve İmza Sirküleri</w:t>
      </w:r>
    </w:p>
    <w:p w:rsidR="00C12E6B" w:rsidRPr="00C12E6B" w:rsidRDefault="00A64444" w:rsidP="00C12E6B">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4.1.3.1. Gerçek kişi olması halinde, noter tasdikli imza beyannamesi</w:t>
      </w:r>
    </w:p>
    <w:p w:rsidR="00C12E6B" w:rsidRPr="00C12E6B" w:rsidRDefault="00A64444" w:rsidP="00C12E6B">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4.1.3.2. Tüzel kişi olması halinde, ilgisine göre tüzel kişiliğin ortakları, üyeleri veya kurucuları ile tüzel kişiliğin yönetimdeki görevlileri belirtilen son durumu gösterir Ticaret Sicil Gazetesi veya bu hususları tevsik eden belgeler ile tüzel kişiliğin noter tasdikli imza sirkü</w:t>
      </w:r>
      <w:r w:rsidR="00F615A2" w:rsidRPr="00C12E6B">
        <w:rPr>
          <w:rFonts w:ascii="Times New Roman" w:eastAsia="Times New Roman" w:hAnsi="Times New Roman" w:cs="Times New Roman"/>
          <w:sz w:val="24"/>
          <w:szCs w:val="24"/>
          <w:lang w:eastAsia="tr-TR"/>
        </w:rPr>
        <w:t>leri</w:t>
      </w:r>
      <w:r w:rsidR="00C12E6B" w:rsidRPr="00C12E6B">
        <w:rPr>
          <w:rFonts w:ascii="Times New Roman" w:eastAsia="Times New Roman" w:hAnsi="Times New Roman" w:cs="Times New Roman"/>
          <w:sz w:val="24"/>
          <w:szCs w:val="24"/>
          <w:lang w:eastAsia="tr-TR"/>
        </w:rPr>
        <w:t>.</w:t>
      </w:r>
    </w:p>
    <w:p w:rsidR="00C12E6B" w:rsidRPr="00C12E6B" w:rsidRDefault="00F615A2" w:rsidP="00A64444">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 xml:space="preserve">4.1.4. İdari şartnamenin 8. </w:t>
      </w:r>
      <w:r w:rsidR="00A64444" w:rsidRPr="00C12E6B">
        <w:rPr>
          <w:rFonts w:ascii="Times New Roman" w:eastAsia="Times New Roman" w:hAnsi="Times New Roman" w:cs="Times New Roman"/>
          <w:sz w:val="24"/>
          <w:szCs w:val="24"/>
          <w:lang w:eastAsia="tr-TR"/>
        </w:rPr>
        <w:t>maddesinin (a), (b), (c), (d), (e), (g) ve (i) bentlerinde sayılan durumlarda olmadığına ilişkin yazılı taahhütname</w:t>
      </w:r>
      <w:r w:rsidR="00967901">
        <w:rPr>
          <w:rFonts w:ascii="Times New Roman" w:eastAsia="Times New Roman" w:hAnsi="Times New Roman" w:cs="Times New Roman"/>
          <w:sz w:val="24"/>
          <w:szCs w:val="24"/>
          <w:lang w:eastAsia="tr-TR"/>
        </w:rPr>
        <w:t>;</w:t>
      </w:r>
    </w:p>
    <w:p w:rsidR="00C12E6B" w:rsidRPr="00C12E6B" w:rsidRDefault="00A64444" w:rsidP="00A64444">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4.1.5. Şekli ve içeriği İdari Şartnamede belirlenen teklif mektubu</w:t>
      </w:r>
      <w:r w:rsidR="00967901">
        <w:rPr>
          <w:rFonts w:ascii="Times New Roman" w:eastAsia="Times New Roman" w:hAnsi="Times New Roman" w:cs="Times New Roman"/>
          <w:sz w:val="24"/>
          <w:szCs w:val="24"/>
          <w:lang w:eastAsia="tr-TR"/>
        </w:rPr>
        <w:t>;</w:t>
      </w:r>
    </w:p>
    <w:p w:rsidR="00A64444" w:rsidRPr="00C12E6B" w:rsidRDefault="00A64444" w:rsidP="00A64444">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4.1.6. Şekli ve içeriği İdari Şartnamede belirlenen geçici teminat</w:t>
      </w:r>
      <w:r w:rsidR="00967901">
        <w:rPr>
          <w:rFonts w:ascii="Times New Roman" w:eastAsia="Times New Roman" w:hAnsi="Times New Roman" w:cs="Times New Roman"/>
          <w:sz w:val="24"/>
          <w:szCs w:val="24"/>
          <w:lang w:eastAsia="tr-TR"/>
        </w:rPr>
        <w:t>;</w:t>
      </w:r>
    </w:p>
    <w:p w:rsidR="00A64444" w:rsidRPr="00C12E6B" w:rsidRDefault="00A64444" w:rsidP="00A64444">
      <w:pPr>
        <w:spacing w:after="0" w:line="240" w:lineRule="atLeast"/>
        <w:ind w:right="141"/>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 xml:space="preserve">4.1.8. </w:t>
      </w:r>
      <w:r w:rsidR="00C12E6B" w:rsidRPr="00C12E6B">
        <w:rPr>
          <w:rFonts w:ascii="Times New Roman" w:eastAsia="Times New Roman" w:hAnsi="Times New Roman" w:cs="Times New Roman"/>
          <w:sz w:val="24"/>
          <w:szCs w:val="24"/>
          <w:lang w:eastAsia="tr-TR"/>
        </w:rPr>
        <w:t>Vekâleten</w:t>
      </w:r>
      <w:r w:rsidRPr="00C12E6B">
        <w:rPr>
          <w:rFonts w:ascii="Times New Roman" w:eastAsia="Times New Roman" w:hAnsi="Times New Roman" w:cs="Times New Roman"/>
          <w:sz w:val="24"/>
          <w:szCs w:val="24"/>
          <w:lang w:eastAsia="tr-TR"/>
        </w:rPr>
        <w:t xml:space="preserve"> ihaleye katılma halinde, vekil adına düzenlenmiş ihaleye katılmaya ilişkin noter onaylı </w:t>
      </w:r>
      <w:r w:rsidR="00C12E6B" w:rsidRPr="00C12E6B">
        <w:rPr>
          <w:rFonts w:ascii="Times New Roman" w:eastAsia="Times New Roman" w:hAnsi="Times New Roman" w:cs="Times New Roman"/>
          <w:sz w:val="24"/>
          <w:szCs w:val="24"/>
          <w:lang w:eastAsia="tr-TR"/>
        </w:rPr>
        <w:t>vekâletname</w:t>
      </w:r>
      <w:r w:rsidRPr="00C12E6B">
        <w:rPr>
          <w:rFonts w:ascii="Times New Roman" w:eastAsia="Times New Roman" w:hAnsi="Times New Roman" w:cs="Times New Roman"/>
          <w:sz w:val="24"/>
          <w:szCs w:val="24"/>
          <w:lang w:eastAsia="tr-TR"/>
        </w:rPr>
        <w:t xml:space="preserve"> ile vekilin noter tasdikli imza beyannamesi,</w:t>
      </w:r>
    </w:p>
    <w:p w:rsidR="00A64444" w:rsidRPr="00C12E6B" w:rsidRDefault="00A64444" w:rsidP="00A64444">
      <w:pPr>
        <w:spacing w:after="0" w:line="240" w:lineRule="atLeast"/>
        <w:ind w:right="141"/>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4.1.9. İhale dokümanının satın alındığına dair belge,</w:t>
      </w:r>
    </w:p>
    <w:p w:rsidR="00A64444" w:rsidRPr="00C12E6B" w:rsidRDefault="00A64444" w:rsidP="00A64444">
      <w:pPr>
        <w:spacing w:after="0" w:line="240" w:lineRule="atLeast"/>
        <w:ind w:right="141"/>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4.1.10. Ortağı olduğu veya hissedarı bulunduğu tüzel kişilere ilişkin beyanname,</w:t>
      </w:r>
    </w:p>
    <w:p w:rsidR="00A64444" w:rsidRPr="00C12E6B" w:rsidRDefault="00A64444" w:rsidP="00E56F12">
      <w:pPr>
        <w:spacing w:after="0" w:line="240" w:lineRule="atLeast"/>
        <w:jc w:val="both"/>
        <w:rPr>
          <w:rFonts w:ascii="Times New Roman" w:eastAsia="Times New Roman" w:hAnsi="Times New Roman" w:cs="Times New Roman"/>
          <w:sz w:val="24"/>
          <w:szCs w:val="24"/>
          <w:lang w:eastAsia="tr-TR"/>
        </w:rPr>
      </w:pPr>
      <w:proofErr w:type="gramStart"/>
      <w:r w:rsidRPr="00C12E6B">
        <w:rPr>
          <w:rFonts w:ascii="Times New Roman" w:eastAsia="Times New Roman" w:hAnsi="Times New Roman" w:cs="Times New Roman"/>
          <w:sz w:val="24"/>
          <w:szCs w:val="24"/>
          <w:lang w:eastAsia="tr-TR"/>
        </w:rPr>
        <w:lastRenderedPageBreak/>
        <w:t>4.1.11. Tüzel kişi tarafından iş deneyimini göstermek üzere sunulan belgenin, tüzel kişiliğin yarısından fazla hissesine sahip ortağına ait olması veya her iki ortağında mühendis veya mimar olması ve belgelenmesi halinde ise tüzel kişiliğe %50-%50 ortak olmaları, ticaret ve sanayi odası/ticaret odası bünyesinde bulunan ticaret sicil memurlukları veya yeminli mali müşavir ya da serbest muhasebeci mali müşavir tarafından ilk ilan tarihinden sonra düzenlenen ve ilan tarihinden önce kurdukları veya ortak olduklarını gösteren belge</w:t>
      </w:r>
      <w:proofErr w:type="gramEnd"/>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 xml:space="preserve">4.2. Ekonomik ve mali yeterliğe ilişkin belgeler ve bu belgelerin taşıması gereken </w:t>
      </w:r>
      <w:proofErr w:type="gramStart"/>
      <w:r w:rsidRPr="00C12E6B">
        <w:rPr>
          <w:rFonts w:ascii="Times New Roman" w:eastAsia="Times New Roman" w:hAnsi="Times New Roman" w:cs="Times New Roman"/>
          <w:sz w:val="24"/>
          <w:szCs w:val="24"/>
          <w:lang w:eastAsia="tr-TR"/>
        </w:rPr>
        <w:t>kriterler</w:t>
      </w:r>
      <w:proofErr w:type="gramEnd"/>
      <w:r w:rsidRPr="00C12E6B">
        <w:rPr>
          <w:rFonts w:ascii="Times New Roman" w:eastAsia="Times New Roman" w:hAnsi="Times New Roman" w:cs="Times New Roman"/>
          <w:sz w:val="24"/>
          <w:szCs w:val="24"/>
          <w:lang w:eastAsia="tr-TR"/>
        </w:rPr>
        <w:t>:</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4.2.1. Ekonomik ve Mali Yeterliliğe İlişkin belge i istenilmemektedir.</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 xml:space="preserve">4.3. Mesleki ve teknik yeterliğe ilişkin belgeler ve bu belgelerin taşıması gereken </w:t>
      </w:r>
      <w:proofErr w:type="gramStart"/>
      <w:r w:rsidRPr="00C12E6B">
        <w:rPr>
          <w:rFonts w:ascii="Times New Roman" w:eastAsia="Times New Roman" w:hAnsi="Times New Roman" w:cs="Times New Roman"/>
          <w:sz w:val="24"/>
          <w:szCs w:val="24"/>
          <w:lang w:eastAsia="tr-TR"/>
        </w:rPr>
        <w:t>kriterler</w:t>
      </w:r>
      <w:proofErr w:type="gramEnd"/>
      <w:r w:rsidRPr="00C12E6B">
        <w:rPr>
          <w:rFonts w:ascii="Times New Roman" w:eastAsia="Times New Roman" w:hAnsi="Times New Roman" w:cs="Times New Roman"/>
          <w:sz w:val="24"/>
          <w:szCs w:val="24"/>
          <w:lang w:eastAsia="tr-TR"/>
        </w:rPr>
        <w:t>:</w:t>
      </w:r>
    </w:p>
    <w:p w:rsidR="00A64444" w:rsidRPr="00C12E6B" w:rsidRDefault="00A64444" w:rsidP="00A64444">
      <w:pPr>
        <w:spacing w:after="0" w:line="240" w:lineRule="atLeast"/>
        <w:ind w:right="142"/>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 xml:space="preserve">4.3.1. İş deneyimi olarak, istekli tarafından teklif edilen bedelin </w:t>
      </w:r>
      <w:r w:rsidRPr="00C12E6B">
        <w:rPr>
          <w:rFonts w:ascii="Times New Roman" w:hAnsi="Times New Roman" w:cs="Times New Roman"/>
          <w:b/>
          <w:sz w:val="24"/>
          <w:szCs w:val="24"/>
        </w:rPr>
        <w:t>%</w:t>
      </w:r>
      <w:r w:rsidR="00A335ED">
        <w:rPr>
          <w:rFonts w:ascii="Times New Roman" w:hAnsi="Times New Roman" w:cs="Times New Roman"/>
          <w:b/>
          <w:sz w:val="24"/>
          <w:szCs w:val="24"/>
        </w:rPr>
        <w:t xml:space="preserve"> </w:t>
      </w:r>
      <w:r w:rsidRPr="00C12E6B">
        <w:rPr>
          <w:rFonts w:ascii="Times New Roman" w:hAnsi="Times New Roman" w:cs="Times New Roman"/>
          <w:b/>
          <w:sz w:val="24"/>
          <w:szCs w:val="24"/>
        </w:rPr>
        <w:t>50’</w:t>
      </w:r>
      <w:r w:rsidRPr="00C12E6B">
        <w:rPr>
          <w:rFonts w:ascii="Times New Roman" w:hAnsi="Times New Roman" w:cs="Times New Roman"/>
          <w:sz w:val="24"/>
          <w:szCs w:val="24"/>
        </w:rPr>
        <w:t>i</w:t>
      </w:r>
      <w:r w:rsidRPr="00C12E6B">
        <w:rPr>
          <w:rFonts w:ascii="Times New Roman" w:hAnsi="Times New Roman" w:cs="Times New Roman"/>
          <w:b/>
          <w:sz w:val="24"/>
          <w:szCs w:val="24"/>
        </w:rPr>
        <w:t xml:space="preserve"> </w:t>
      </w:r>
      <w:r w:rsidRPr="00C12E6B">
        <w:rPr>
          <w:rFonts w:ascii="Times New Roman" w:eastAsia="Times New Roman" w:hAnsi="Times New Roman" w:cs="Times New Roman"/>
          <w:sz w:val="24"/>
          <w:szCs w:val="24"/>
          <w:lang w:eastAsia="tr-TR"/>
        </w:rPr>
        <w:t>oranında, ihale konusu iş veya benzer işlere ait tek sözleşmeye ilişkin iş deneyim belgesi verilecektir.</w:t>
      </w:r>
    </w:p>
    <w:p w:rsidR="00967901" w:rsidRDefault="00A64444" w:rsidP="00A64444">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4.3.2. İsteklinin Organizasyon Yapısına ve Personel Durumuna ilişkin Belgeler</w:t>
      </w:r>
    </w:p>
    <w:p w:rsidR="00A64444" w:rsidRPr="00C12E6B" w:rsidRDefault="00C12E6B" w:rsidP="00A64444">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 xml:space="preserve">      </w:t>
      </w:r>
      <w:r w:rsidR="00A64444" w:rsidRPr="00C12E6B">
        <w:rPr>
          <w:rFonts w:ascii="Times New Roman" w:eastAsia="Times New Roman" w:hAnsi="Times New Roman" w:cs="Times New Roman"/>
          <w:sz w:val="24"/>
          <w:szCs w:val="24"/>
          <w:lang w:eastAsia="tr-TR"/>
        </w:rPr>
        <w:t>a) Anahtar teknik personel istenilmemektedir.</w:t>
      </w:r>
    </w:p>
    <w:p w:rsidR="00A64444" w:rsidRPr="00C12E6B" w:rsidRDefault="00C12E6B" w:rsidP="00A64444">
      <w:pPr>
        <w:spacing w:after="0" w:line="240" w:lineRule="atLeast"/>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 xml:space="preserve">      </w:t>
      </w:r>
      <w:r w:rsidR="00A64444" w:rsidRPr="00C12E6B">
        <w:rPr>
          <w:rFonts w:ascii="Times New Roman" w:eastAsia="Times New Roman" w:hAnsi="Times New Roman" w:cs="Times New Roman"/>
          <w:sz w:val="24"/>
          <w:szCs w:val="24"/>
          <w:lang w:eastAsia="tr-TR"/>
        </w:rPr>
        <w:t>b) Aşağıda belirtilen teknik personellere ilişkin taahhütname verilmesi gerekmektedir.</w:t>
      </w:r>
    </w:p>
    <w:p w:rsidR="00A64444" w:rsidRPr="00C12E6B" w:rsidRDefault="00A64444" w:rsidP="00A64444">
      <w:pPr>
        <w:spacing w:after="0" w:line="240" w:lineRule="atLeast"/>
        <w:ind w:firstLine="426"/>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u w:val="single"/>
          <w:lang w:eastAsia="tr-TR"/>
        </w:rPr>
        <w:t xml:space="preserve">Personelin </w:t>
      </w:r>
      <w:proofErr w:type="gramStart"/>
      <w:r w:rsidRPr="00C12E6B">
        <w:rPr>
          <w:rFonts w:ascii="Times New Roman" w:eastAsia="Times New Roman" w:hAnsi="Times New Roman" w:cs="Times New Roman"/>
          <w:sz w:val="24"/>
          <w:szCs w:val="24"/>
          <w:u w:val="single"/>
          <w:lang w:eastAsia="tr-TR"/>
        </w:rPr>
        <w:t>Unvanı</w:t>
      </w:r>
      <w:r w:rsidRPr="00C12E6B">
        <w:rPr>
          <w:rFonts w:ascii="Times New Roman" w:eastAsia="Times New Roman" w:hAnsi="Times New Roman" w:cs="Times New Roman"/>
          <w:sz w:val="24"/>
          <w:szCs w:val="24"/>
          <w:lang w:eastAsia="tr-TR"/>
        </w:rPr>
        <w:t xml:space="preserve">       </w:t>
      </w:r>
      <w:r w:rsidR="00A335ED">
        <w:rPr>
          <w:rFonts w:ascii="Times New Roman" w:eastAsia="Times New Roman" w:hAnsi="Times New Roman" w:cs="Times New Roman"/>
          <w:sz w:val="24"/>
          <w:szCs w:val="24"/>
          <w:lang w:eastAsia="tr-TR"/>
        </w:rPr>
        <w:t xml:space="preserve">   </w:t>
      </w:r>
      <w:r w:rsidRPr="00C12E6B">
        <w:rPr>
          <w:rFonts w:ascii="Times New Roman" w:eastAsia="Times New Roman" w:hAnsi="Times New Roman" w:cs="Times New Roman"/>
          <w:sz w:val="24"/>
          <w:szCs w:val="24"/>
          <w:lang w:eastAsia="tr-TR"/>
        </w:rPr>
        <w:t xml:space="preserve"> </w:t>
      </w:r>
      <w:r w:rsidRPr="00C12E6B">
        <w:rPr>
          <w:rFonts w:ascii="Times New Roman" w:eastAsia="Times New Roman" w:hAnsi="Times New Roman" w:cs="Times New Roman"/>
          <w:sz w:val="24"/>
          <w:szCs w:val="24"/>
          <w:u w:val="single"/>
          <w:lang w:eastAsia="tr-TR"/>
        </w:rPr>
        <w:t>Adet</w:t>
      </w:r>
      <w:proofErr w:type="gramEnd"/>
      <w:r w:rsidRPr="00C12E6B">
        <w:rPr>
          <w:rFonts w:ascii="Times New Roman" w:eastAsia="Times New Roman" w:hAnsi="Times New Roman" w:cs="Times New Roman"/>
          <w:sz w:val="24"/>
          <w:szCs w:val="24"/>
          <w:lang w:eastAsia="tr-TR"/>
        </w:rPr>
        <w:t xml:space="preserve">     </w:t>
      </w:r>
      <w:r w:rsidRPr="00C12E6B">
        <w:rPr>
          <w:rFonts w:ascii="Times New Roman" w:eastAsia="Times New Roman" w:hAnsi="Times New Roman" w:cs="Times New Roman"/>
          <w:sz w:val="24"/>
          <w:szCs w:val="24"/>
          <w:u w:val="single"/>
          <w:lang w:eastAsia="tr-TR"/>
        </w:rPr>
        <w:t>Minimum Tecrübe</w:t>
      </w:r>
      <w:r w:rsidRPr="00C12E6B">
        <w:rPr>
          <w:rFonts w:ascii="Times New Roman" w:eastAsia="Times New Roman" w:hAnsi="Times New Roman" w:cs="Times New Roman"/>
          <w:sz w:val="24"/>
          <w:szCs w:val="24"/>
          <w:lang w:eastAsia="tr-TR"/>
        </w:rPr>
        <w:t xml:space="preserve">     </w:t>
      </w:r>
    </w:p>
    <w:p w:rsidR="00A64444" w:rsidRPr="00C12E6B" w:rsidRDefault="00A335ED" w:rsidP="00E56F12">
      <w:pPr>
        <w:spacing w:after="0" w:line="240" w:lineRule="atLeast"/>
        <w:ind w:firstLine="42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Mimar (Şantiye Şefi )</w:t>
      </w:r>
      <w:r>
        <w:rPr>
          <w:rFonts w:ascii="Times New Roman" w:eastAsia="Times New Roman" w:hAnsi="Times New Roman" w:cs="Times New Roman"/>
          <w:sz w:val="24"/>
          <w:szCs w:val="24"/>
          <w:lang w:eastAsia="tr-TR"/>
        </w:rPr>
        <w:tab/>
        <w:t xml:space="preserve"> </w:t>
      </w:r>
      <w:r w:rsidR="00A64444" w:rsidRPr="00C12E6B">
        <w:rPr>
          <w:rFonts w:ascii="Times New Roman" w:eastAsia="Times New Roman" w:hAnsi="Times New Roman" w:cs="Times New Roman"/>
          <w:sz w:val="24"/>
          <w:szCs w:val="24"/>
          <w:lang w:eastAsia="tr-TR"/>
        </w:rPr>
        <w:t xml:space="preserve">  1</w:t>
      </w:r>
      <w:r w:rsidR="00A64444" w:rsidRPr="00C12E6B">
        <w:rPr>
          <w:rFonts w:ascii="Times New Roman" w:eastAsia="Times New Roman" w:hAnsi="Times New Roman" w:cs="Times New Roman"/>
          <w:sz w:val="24"/>
          <w:szCs w:val="24"/>
          <w:lang w:eastAsia="tr-TR"/>
        </w:rPr>
        <w:tab/>
      </w:r>
      <w:r w:rsidR="00A64444" w:rsidRPr="00C12E6B">
        <w:rPr>
          <w:rFonts w:ascii="Times New Roman" w:eastAsia="Times New Roman" w:hAnsi="Times New Roman" w:cs="Times New Roman"/>
          <w:sz w:val="24"/>
          <w:szCs w:val="24"/>
          <w:lang w:eastAsia="tr-TR"/>
        </w:rPr>
        <w:tab/>
        <w:t>5</w:t>
      </w:r>
      <w:r w:rsidR="00A64444" w:rsidRPr="00C12E6B">
        <w:rPr>
          <w:rFonts w:ascii="Times New Roman" w:eastAsia="Times New Roman" w:hAnsi="Times New Roman" w:cs="Times New Roman"/>
          <w:sz w:val="24"/>
          <w:szCs w:val="24"/>
          <w:lang w:eastAsia="tr-TR"/>
        </w:rPr>
        <w:tab/>
      </w:r>
      <w:r w:rsidR="00A64444" w:rsidRPr="00C12E6B">
        <w:rPr>
          <w:rFonts w:ascii="Times New Roman" w:eastAsia="Times New Roman" w:hAnsi="Times New Roman" w:cs="Times New Roman"/>
          <w:sz w:val="24"/>
          <w:szCs w:val="24"/>
          <w:lang w:eastAsia="tr-TR"/>
        </w:rPr>
        <w:tab/>
      </w:r>
      <w:r w:rsidR="00A64444" w:rsidRPr="00C12E6B">
        <w:rPr>
          <w:rFonts w:ascii="Times New Roman" w:eastAsia="Times New Roman" w:hAnsi="Times New Roman" w:cs="Times New Roman"/>
          <w:sz w:val="24"/>
          <w:szCs w:val="24"/>
          <w:lang w:eastAsia="tr-TR"/>
        </w:rPr>
        <w:tab/>
      </w:r>
    </w:p>
    <w:p w:rsidR="00A64444" w:rsidRPr="00C12E6B" w:rsidRDefault="00A64444" w:rsidP="00A64444">
      <w:pPr>
        <w:spacing w:after="0" w:line="240" w:lineRule="atLeast"/>
        <w:ind w:firstLine="426"/>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 xml:space="preserve">Mimar </w:t>
      </w:r>
      <w:r w:rsidRPr="00C12E6B">
        <w:rPr>
          <w:rFonts w:ascii="Times New Roman" w:eastAsia="Times New Roman" w:hAnsi="Times New Roman" w:cs="Times New Roman"/>
          <w:sz w:val="24"/>
          <w:szCs w:val="24"/>
          <w:lang w:eastAsia="tr-TR"/>
        </w:rPr>
        <w:tab/>
      </w:r>
      <w:r w:rsidRPr="00C12E6B">
        <w:rPr>
          <w:rFonts w:ascii="Times New Roman" w:eastAsia="Times New Roman" w:hAnsi="Times New Roman" w:cs="Times New Roman"/>
          <w:sz w:val="24"/>
          <w:szCs w:val="24"/>
          <w:lang w:eastAsia="tr-TR"/>
        </w:rPr>
        <w:tab/>
        <w:t xml:space="preserve">    </w:t>
      </w:r>
      <w:r w:rsidR="00A335ED">
        <w:rPr>
          <w:rFonts w:ascii="Times New Roman" w:eastAsia="Times New Roman" w:hAnsi="Times New Roman" w:cs="Times New Roman"/>
          <w:sz w:val="24"/>
          <w:szCs w:val="24"/>
          <w:lang w:eastAsia="tr-TR"/>
        </w:rPr>
        <w:t xml:space="preserve">           </w:t>
      </w:r>
      <w:r w:rsidRPr="00C12E6B">
        <w:rPr>
          <w:rFonts w:ascii="Times New Roman" w:eastAsia="Times New Roman" w:hAnsi="Times New Roman" w:cs="Times New Roman"/>
          <w:sz w:val="24"/>
          <w:szCs w:val="24"/>
          <w:lang w:eastAsia="tr-TR"/>
        </w:rPr>
        <w:t>1</w:t>
      </w:r>
      <w:r w:rsidRPr="00C12E6B">
        <w:rPr>
          <w:rFonts w:ascii="Times New Roman" w:eastAsia="Times New Roman" w:hAnsi="Times New Roman" w:cs="Times New Roman"/>
          <w:sz w:val="24"/>
          <w:szCs w:val="24"/>
          <w:lang w:eastAsia="tr-TR"/>
        </w:rPr>
        <w:tab/>
      </w:r>
      <w:r w:rsidRPr="00C12E6B">
        <w:rPr>
          <w:rFonts w:ascii="Times New Roman" w:eastAsia="Times New Roman" w:hAnsi="Times New Roman" w:cs="Times New Roman"/>
          <w:sz w:val="24"/>
          <w:szCs w:val="24"/>
          <w:lang w:eastAsia="tr-TR"/>
        </w:rPr>
        <w:tab/>
        <w:t>2</w:t>
      </w:r>
      <w:r w:rsidRPr="00C12E6B">
        <w:rPr>
          <w:rFonts w:ascii="Times New Roman" w:eastAsia="Times New Roman" w:hAnsi="Times New Roman" w:cs="Times New Roman"/>
          <w:sz w:val="24"/>
          <w:szCs w:val="24"/>
          <w:lang w:eastAsia="tr-TR"/>
        </w:rPr>
        <w:tab/>
      </w:r>
      <w:r w:rsidRPr="00C12E6B">
        <w:rPr>
          <w:rFonts w:ascii="Times New Roman" w:eastAsia="Times New Roman" w:hAnsi="Times New Roman" w:cs="Times New Roman"/>
          <w:sz w:val="24"/>
          <w:szCs w:val="24"/>
          <w:lang w:eastAsia="tr-TR"/>
        </w:rPr>
        <w:tab/>
      </w:r>
      <w:r w:rsidRPr="00C12E6B">
        <w:rPr>
          <w:rFonts w:ascii="Times New Roman" w:eastAsia="Times New Roman" w:hAnsi="Times New Roman" w:cs="Times New Roman"/>
          <w:sz w:val="24"/>
          <w:szCs w:val="24"/>
          <w:lang w:eastAsia="tr-TR"/>
        </w:rPr>
        <w:tab/>
      </w:r>
    </w:p>
    <w:p w:rsidR="00A64444" w:rsidRPr="00C12E6B" w:rsidRDefault="00A64444" w:rsidP="00A64444">
      <w:pPr>
        <w:spacing w:after="0" w:line="240" w:lineRule="atLeast"/>
        <w:ind w:firstLine="426"/>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 xml:space="preserve">Elektrik </w:t>
      </w:r>
      <w:proofErr w:type="gramStart"/>
      <w:r w:rsidRPr="00C12E6B">
        <w:rPr>
          <w:rFonts w:ascii="Times New Roman" w:eastAsia="Times New Roman" w:hAnsi="Times New Roman" w:cs="Times New Roman"/>
          <w:sz w:val="24"/>
          <w:szCs w:val="24"/>
          <w:lang w:eastAsia="tr-TR"/>
        </w:rPr>
        <w:t xml:space="preserve">Mühendisi       </w:t>
      </w:r>
      <w:r w:rsidR="00A335ED">
        <w:rPr>
          <w:rFonts w:ascii="Times New Roman" w:eastAsia="Times New Roman" w:hAnsi="Times New Roman" w:cs="Times New Roman"/>
          <w:sz w:val="24"/>
          <w:szCs w:val="24"/>
          <w:lang w:eastAsia="tr-TR"/>
        </w:rPr>
        <w:t xml:space="preserve">    </w:t>
      </w:r>
      <w:r w:rsidRPr="00C12E6B">
        <w:rPr>
          <w:rFonts w:ascii="Times New Roman" w:eastAsia="Times New Roman" w:hAnsi="Times New Roman" w:cs="Times New Roman"/>
          <w:sz w:val="24"/>
          <w:szCs w:val="24"/>
          <w:lang w:eastAsia="tr-TR"/>
        </w:rPr>
        <w:t xml:space="preserve"> 1</w:t>
      </w:r>
      <w:proofErr w:type="gramEnd"/>
      <w:r w:rsidRPr="00C12E6B">
        <w:rPr>
          <w:rFonts w:ascii="Times New Roman" w:eastAsia="Times New Roman" w:hAnsi="Times New Roman" w:cs="Times New Roman"/>
          <w:sz w:val="24"/>
          <w:szCs w:val="24"/>
          <w:lang w:eastAsia="tr-TR"/>
        </w:rPr>
        <w:tab/>
      </w:r>
      <w:r w:rsidRPr="00C12E6B">
        <w:rPr>
          <w:rFonts w:ascii="Times New Roman" w:eastAsia="Times New Roman" w:hAnsi="Times New Roman" w:cs="Times New Roman"/>
          <w:sz w:val="24"/>
          <w:szCs w:val="24"/>
          <w:lang w:eastAsia="tr-TR"/>
        </w:rPr>
        <w:tab/>
        <w:t>2</w:t>
      </w:r>
      <w:r w:rsidRPr="00C12E6B">
        <w:rPr>
          <w:rFonts w:ascii="Times New Roman" w:eastAsia="Times New Roman" w:hAnsi="Times New Roman" w:cs="Times New Roman"/>
          <w:sz w:val="24"/>
          <w:szCs w:val="24"/>
          <w:lang w:eastAsia="tr-TR"/>
        </w:rPr>
        <w:tab/>
      </w:r>
      <w:r w:rsidRPr="00C12E6B">
        <w:rPr>
          <w:rFonts w:ascii="Times New Roman" w:eastAsia="Times New Roman" w:hAnsi="Times New Roman" w:cs="Times New Roman"/>
          <w:sz w:val="24"/>
          <w:szCs w:val="24"/>
          <w:lang w:eastAsia="tr-TR"/>
        </w:rPr>
        <w:tab/>
        <w:t xml:space="preserve"> </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İhale üzerinde kalan isteklinin, taahhüt edilen teknik personelin idarece öngörülen nitelik ve sayıda olduğuna dair belgeleri sözleşmenin imzalandığı tarihten itibaren 5 (beş) gün içerisinde idareye sunması zorunludur.</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İş ortaklığında teknik personel, ortaklık oranına bakılmaksızın pilot ve diğer ortaklar tarafından karşılanabilir. Personel belgelendirilmesine ilişkin belgelerin idareye sunulduğu tarih itibariyle geçerli olması yeterlidir.</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4.4- Bu ihalede benzer iş olarak, “</w:t>
      </w:r>
      <w:r w:rsidRPr="00C12E6B">
        <w:rPr>
          <w:rFonts w:ascii="Times New Roman" w:hAnsi="Times New Roman" w:cs="Times New Roman"/>
          <w:b/>
          <w:sz w:val="24"/>
          <w:szCs w:val="24"/>
        </w:rPr>
        <w:t xml:space="preserve">B / I. GRUP; </w:t>
      </w:r>
      <w:r w:rsidR="002449B3">
        <w:rPr>
          <w:rFonts w:ascii="Times New Roman" w:hAnsi="Times New Roman" w:cs="Times New Roman"/>
          <w:b/>
          <w:sz w:val="24"/>
          <w:szCs w:val="24"/>
        </w:rPr>
        <w:t>“</w:t>
      </w:r>
      <w:r w:rsidRPr="002449B3">
        <w:rPr>
          <w:rFonts w:ascii="Times New Roman" w:eastAsia="Times New Roman" w:hAnsi="Times New Roman" w:cs="Times New Roman"/>
          <w:b/>
          <w:sz w:val="24"/>
          <w:szCs w:val="24"/>
          <w:lang w:eastAsia="tr-TR"/>
        </w:rPr>
        <w:t>2863 Sayılı Kanun Kapsamında; Kültür Ve Tabiat Varlıklarını Koruma Kanunu Kapsamındaki Taşınmaz Kültür Varlıklarının Restorasyon Uygulamaları İşleri</w:t>
      </w:r>
      <w:r w:rsidR="002449B3">
        <w:rPr>
          <w:rFonts w:ascii="Times New Roman" w:eastAsia="Times New Roman" w:hAnsi="Times New Roman" w:cs="Times New Roman"/>
          <w:b/>
          <w:sz w:val="24"/>
          <w:szCs w:val="24"/>
          <w:lang w:eastAsia="tr-TR"/>
        </w:rPr>
        <w:t>”</w:t>
      </w:r>
      <w:r w:rsidRPr="002449B3">
        <w:rPr>
          <w:rFonts w:ascii="Times New Roman" w:eastAsia="Times New Roman" w:hAnsi="Times New Roman" w:cs="Times New Roman"/>
          <w:b/>
          <w:sz w:val="24"/>
          <w:szCs w:val="24"/>
          <w:lang w:eastAsia="tr-TR"/>
        </w:rPr>
        <w:t xml:space="preserve"> </w:t>
      </w:r>
      <w:r w:rsidRPr="002449B3">
        <w:rPr>
          <w:rFonts w:ascii="Times New Roman" w:eastAsia="Times New Roman" w:hAnsi="Times New Roman" w:cs="Times New Roman"/>
          <w:sz w:val="24"/>
          <w:szCs w:val="24"/>
          <w:lang w:eastAsia="tr-TR"/>
        </w:rPr>
        <w:t>benzer iş olarak</w:t>
      </w:r>
      <w:r w:rsidRPr="00C12E6B">
        <w:rPr>
          <w:rFonts w:ascii="Times New Roman" w:eastAsia="Times New Roman" w:hAnsi="Times New Roman" w:cs="Times New Roman"/>
          <w:sz w:val="24"/>
          <w:szCs w:val="24"/>
          <w:lang w:eastAsia="tr-TR"/>
        </w:rPr>
        <w:t xml:space="preserve"> kabul edilecektir. İhale konusu iş veya benzer işe denk sayılacak mühendislik veya mimarlık bölümleri diplomaları kabul edilmeyecektir.</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 xml:space="preserve">5- İhale komisyonu, verilen teklifleri idari Şartnamenin 32 ve 33 üncü maddelerine göre değerlendirdikten sonra, İdarenin tespit ettiği yaklaşık maliyete göre teklif fiyatı aşırı düşük olanları tespit eder. </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5.1- Ekonomik açıdan en avantajlı teklif sadece fiyat esasına göre belirlenecektir.</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6- ihaleye sadece yerli istekliler katılabilecektir.</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7- İhale dokümanının görülmesi ve satın alınması:</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 xml:space="preserve">7.1- İhale dokümanı, idarenin adresinde görülebilir ve </w:t>
      </w:r>
      <w:r w:rsidRPr="00C12E6B">
        <w:rPr>
          <w:rFonts w:ascii="Times New Roman" w:eastAsia="Times New Roman" w:hAnsi="Times New Roman" w:cs="Times New Roman"/>
          <w:b/>
          <w:sz w:val="24"/>
          <w:szCs w:val="24"/>
          <w:lang w:eastAsia="tr-TR"/>
        </w:rPr>
        <w:t>400 (</w:t>
      </w:r>
      <w:proofErr w:type="spellStart"/>
      <w:r w:rsidRPr="00C12E6B">
        <w:rPr>
          <w:rFonts w:ascii="Times New Roman" w:eastAsia="Times New Roman" w:hAnsi="Times New Roman" w:cs="Times New Roman"/>
          <w:b/>
          <w:sz w:val="24"/>
          <w:szCs w:val="24"/>
          <w:lang w:eastAsia="tr-TR"/>
        </w:rPr>
        <w:t>DörtYüz</w:t>
      </w:r>
      <w:proofErr w:type="spellEnd"/>
      <w:r w:rsidRPr="00C12E6B">
        <w:rPr>
          <w:rFonts w:ascii="Times New Roman" w:eastAsia="Times New Roman" w:hAnsi="Times New Roman" w:cs="Times New Roman"/>
          <w:b/>
          <w:sz w:val="24"/>
          <w:szCs w:val="24"/>
          <w:lang w:eastAsia="tr-TR"/>
        </w:rPr>
        <w:t>)</w:t>
      </w:r>
      <w:r w:rsidRPr="00C12E6B">
        <w:rPr>
          <w:rFonts w:ascii="Times New Roman" w:eastAsia="Times New Roman" w:hAnsi="Times New Roman" w:cs="Times New Roman"/>
          <w:sz w:val="24"/>
          <w:szCs w:val="24"/>
          <w:lang w:eastAsia="tr-TR"/>
        </w:rPr>
        <w:t xml:space="preserve"> Türk Lirası karşılığı aynı adresten satın alınabilir.</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7.2- İhaleye teklif verecek olan isteklilerin kendisinin veya temsilcilerinin, ihale dokümanını satın almaları zorunludur.</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8- Teklifle</w:t>
      </w:r>
      <w:r w:rsidR="00A37235">
        <w:rPr>
          <w:rFonts w:ascii="Times New Roman" w:eastAsia="Times New Roman" w:hAnsi="Times New Roman" w:cs="Times New Roman"/>
          <w:sz w:val="24"/>
          <w:szCs w:val="24"/>
          <w:lang w:eastAsia="tr-TR"/>
        </w:rPr>
        <w:t xml:space="preserve">r, ihale tarih ve saatine kadar </w:t>
      </w:r>
      <w:r w:rsidR="00F615A2" w:rsidRPr="00C12E6B">
        <w:rPr>
          <w:rFonts w:ascii="Times New Roman" w:hAnsi="Times New Roman" w:cs="Times New Roman"/>
          <w:b/>
          <w:sz w:val="24"/>
          <w:szCs w:val="24"/>
        </w:rPr>
        <w:t>Mardin Büyükşehir Belediyesi Sosyal Tesis Toplantı Salonu</w:t>
      </w:r>
      <w:r w:rsidR="00F615A2" w:rsidRPr="00C12E6B">
        <w:rPr>
          <w:rFonts w:ascii="Times New Roman" w:hAnsi="Times New Roman" w:cs="Times New Roman"/>
          <w:sz w:val="24"/>
          <w:szCs w:val="24"/>
        </w:rPr>
        <w:t xml:space="preserve"> - </w:t>
      </w:r>
      <w:r w:rsidR="00F615A2" w:rsidRPr="00C12E6B">
        <w:rPr>
          <w:rFonts w:ascii="Times New Roman" w:hAnsi="Times New Roman" w:cs="Times New Roman"/>
          <w:b/>
          <w:sz w:val="24"/>
          <w:szCs w:val="24"/>
        </w:rPr>
        <w:t xml:space="preserve">İstasyon Mah. Kızıltepe Cad. No:54 Artuklu / </w:t>
      </w:r>
      <w:r w:rsidR="00FD4F50" w:rsidRPr="00C12E6B">
        <w:rPr>
          <w:rFonts w:ascii="Times New Roman" w:hAnsi="Times New Roman" w:cs="Times New Roman"/>
          <w:b/>
          <w:sz w:val="24"/>
          <w:szCs w:val="24"/>
        </w:rPr>
        <w:t xml:space="preserve">MARDİN </w:t>
      </w:r>
      <w:r w:rsidR="00FD4F50" w:rsidRPr="00C12E6B">
        <w:rPr>
          <w:rFonts w:ascii="Times New Roman" w:eastAsia="Times New Roman" w:hAnsi="Times New Roman" w:cs="Times New Roman"/>
          <w:sz w:val="24"/>
          <w:szCs w:val="24"/>
          <w:lang w:eastAsia="tr-TR"/>
        </w:rPr>
        <w:t>adresine</w:t>
      </w:r>
      <w:r w:rsidRPr="00C12E6B">
        <w:rPr>
          <w:rFonts w:ascii="Times New Roman" w:eastAsia="Times New Roman" w:hAnsi="Times New Roman" w:cs="Times New Roman"/>
          <w:sz w:val="24"/>
          <w:szCs w:val="24"/>
          <w:lang w:eastAsia="tr-TR"/>
        </w:rPr>
        <w:t xml:space="preserve"> e</w:t>
      </w:r>
      <w:r w:rsidR="00F615A2" w:rsidRPr="00C12E6B">
        <w:rPr>
          <w:rFonts w:ascii="Times New Roman" w:eastAsia="Times New Roman" w:hAnsi="Times New Roman" w:cs="Times New Roman"/>
          <w:sz w:val="24"/>
          <w:szCs w:val="24"/>
          <w:lang w:eastAsia="tr-TR"/>
        </w:rPr>
        <w:t>lden teslim edilebileceği gibi,</w:t>
      </w:r>
      <w:r w:rsidRPr="00C12E6B">
        <w:rPr>
          <w:rFonts w:ascii="Times New Roman" w:eastAsia="Times New Roman" w:hAnsi="Times New Roman" w:cs="Times New Roman"/>
          <w:sz w:val="24"/>
          <w:szCs w:val="24"/>
          <w:lang w:eastAsia="tr-TR"/>
        </w:rPr>
        <w:t xml:space="preserve"> aynı adrese iadeli taahhütlü posta vasıtasıyla da gönderilebilir.</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10- İstekliler teklif ettikleri bedelin %</w:t>
      </w:r>
      <w:r w:rsidR="00A37235">
        <w:rPr>
          <w:rFonts w:ascii="Times New Roman" w:eastAsia="Times New Roman" w:hAnsi="Times New Roman" w:cs="Times New Roman"/>
          <w:sz w:val="24"/>
          <w:szCs w:val="24"/>
          <w:lang w:eastAsia="tr-TR"/>
        </w:rPr>
        <w:t xml:space="preserve"> </w:t>
      </w:r>
      <w:r w:rsidRPr="00C12E6B">
        <w:rPr>
          <w:rFonts w:ascii="Times New Roman" w:eastAsia="Times New Roman" w:hAnsi="Times New Roman" w:cs="Times New Roman"/>
          <w:sz w:val="24"/>
          <w:szCs w:val="24"/>
          <w:lang w:eastAsia="tr-TR"/>
        </w:rPr>
        <w:t>3’ünden az olmamak üzere kendi belirleyecekleri tutarda geçici teminat vereceklerdir.</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 xml:space="preserve">11- Verilen tekliflerin geçerlilik süresi, ihale tarihinden itibaren </w:t>
      </w:r>
      <w:r w:rsidRPr="00C12E6B">
        <w:rPr>
          <w:rFonts w:ascii="Times New Roman" w:eastAsia="Times New Roman" w:hAnsi="Times New Roman" w:cs="Times New Roman"/>
          <w:b/>
          <w:sz w:val="24"/>
          <w:szCs w:val="24"/>
          <w:lang w:eastAsia="tr-TR"/>
        </w:rPr>
        <w:t>90 (Doksan)</w:t>
      </w:r>
      <w:r w:rsidRPr="00C12E6B">
        <w:rPr>
          <w:rFonts w:ascii="Times New Roman" w:eastAsia="Times New Roman" w:hAnsi="Times New Roman" w:cs="Times New Roman"/>
          <w:sz w:val="24"/>
          <w:szCs w:val="24"/>
          <w:lang w:eastAsia="tr-TR"/>
        </w:rPr>
        <w:t xml:space="preserve"> takvim günüdür.</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12- Bütün tekliflerin reddedilmesi ve ihalenin iptal edilmesinde İdare serbesttir.</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13- Konsorsiyum olarak ihaleye teklif veremezler.</w:t>
      </w:r>
    </w:p>
    <w:p w:rsidR="00A64444" w:rsidRPr="00C12E6B" w:rsidRDefault="00A64444" w:rsidP="00A64444">
      <w:pPr>
        <w:spacing w:after="0" w:line="240" w:lineRule="atLeast"/>
        <w:jc w:val="both"/>
        <w:rPr>
          <w:rFonts w:ascii="Times New Roman" w:eastAsia="Times New Roman" w:hAnsi="Times New Roman" w:cs="Times New Roman"/>
          <w:sz w:val="24"/>
          <w:szCs w:val="24"/>
          <w:lang w:eastAsia="tr-TR"/>
        </w:rPr>
      </w:pPr>
      <w:r w:rsidRPr="00C12E6B">
        <w:rPr>
          <w:rFonts w:ascii="Times New Roman" w:eastAsia="Times New Roman" w:hAnsi="Times New Roman" w:cs="Times New Roman"/>
          <w:sz w:val="24"/>
          <w:szCs w:val="24"/>
          <w:lang w:eastAsia="tr-TR"/>
        </w:rPr>
        <w:t>14- İhalede, 2886 sayılı Devlet İhale Kanunu ile ihalelerden yasaklama hükümleri hariç 4734 sayılı Kamu İhale Kanunu hükümleri uygulanmayıp, Kültür Varlıkları İhale Yönetmeliği esasları uygulanacaktır.</w:t>
      </w:r>
      <w:bookmarkEnd w:id="0"/>
    </w:p>
    <w:sectPr w:rsidR="00A64444" w:rsidRPr="00C12E6B" w:rsidSect="00C003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BC"/>
    <w:rsid w:val="00002210"/>
    <w:rsid w:val="000220DF"/>
    <w:rsid w:val="001066C5"/>
    <w:rsid w:val="002449B3"/>
    <w:rsid w:val="004A2985"/>
    <w:rsid w:val="00623377"/>
    <w:rsid w:val="00632BF5"/>
    <w:rsid w:val="008E47BC"/>
    <w:rsid w:val="00967901"/>
    <w:rsid w:val="009E47B9"/>
    <w:rsid w:val="00A335ED"/>
    <w:rsid w:val="00A37235"/>
    <w:rsid w:val="00A64444"/>
    <w:rsid w:val="00B17FA8"/>
    <w:rsid w:val="00B9020D"/>
    <w:rsid w:val="00C00393"/>
    <w:rsid w:val="00C12E6B"/>
    <w:rsid w:val="00E56F12"/>
    <w:rsid w:val="00F615A2"/>
    <w:rsid w:val="00FD4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4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4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1032</Words>
  <Characters>5884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2022-04-12T11:00:00Z</dcterms:created>
  <dcterms:modified xsi:type="dcterms:W3CDTF">2022-04-14T09:08:00Z</dcterms:modified>
</cp:coreProperties>
</file>